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сдать отчётность через web-сбор?</w:t>
      </w:r>
    </w:p>
    <w:p>
      <w:pPr>
        <w:rPr/>
      </w:pPr>
      <w:r>
        <w:rPr/>
        <w:t xml:space="preserve">Ответ: С порядком предоставления  отчётности через web-сбор можно ознакомиться на сайте Кемеровостата: Главная страница / Респондентам / Электронная отчётность / Система Web-сбора. https://kemerovostat.gks.ru/e-stat/web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подразделения указывать при заполнении отчётов по формам статистической отчётности через электронный сбор?</w:t>
      </w:r>
    </w:p>
    <w:p>
      <w:pPr>
        <w:rPr/>
      </w:pPr>
      <w:r>
        <w:rPr/>
        <w:t xml:space="preserve">Ответ: Указывать код 4200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код структурного учреждения указать при заполнении отчёта по форме №1-здрав через электронный сбор?</w:t>
      </w:r>
    </w:p>
    <w:p>
      <w:pPr>
        <w:rPr/>
      </w:pPr>
      <w:r>
        <w:rPr/>
        <w:t xml:space="preserve">Ответ: Указать код 1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получить данные о кодах статистики и перечне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На сайте Кемеровостата можно самостоятельно получить данные о кодах статистики, а также ознакомиться с перечнем форм, подлежащих предоставлению в органы статистики Вашей организацией: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обновляется перечень форм, подлежащих предоставлению респондентом в органы статистики?</w:t>
      </w:r>
    </w:p>
    <w:p>
      <w:pPr>
        <w:rPr/>
      </w:pPr>
      <w:r>
        <w:rPr/>
        <w:t xml:space="preserve">Ответ: Актуальный перечень форм месячной периодичности можно получать, начиная с 30 числа отчётного месяца, квартальной периодичности – начиная с 30 числа последнего месяца отчётного квартала, полугодовой периодичности – начиная с 30 числа последнего месяца отчётного полугодия, годовой периодичности - 30 декабря, за исключением отдельных форм, перечни респондентов по которым обновляются в иные сроки. Их список со сроками обновления перечней приводится на сайте Кемеровостата: Главная страница / Респондентам / Получить данные о кодах статистики, Перечень форм для предоставления в 2022 году https://websbor.gks.ru/online/info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можно связаться со специалистом, ответственным за сбор определённой формы отчётности?</w:t>
      </w:r>
    </w:p>
    <w:p>
      <w:pPr>
        <w:rPr/>
      </w:pPr>
      <w:r>
        <w:rPr/>
        <w:t xml:space="preserve">Ответ: Номер телефона и ФИО специалиста, а также форму отчёта и сроки его предоставления можно найти в Поисковой системе для респондентов:  Главная страница / кнопка «Поиск форм и контактов». http://service.kemerovostat.gks.ru/BBW/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каком основании индивидуальные предприниматели и малые предприятия должны сдавать статистическую отчётность в органы статистики?</w:t>
      </w:r>
    </w:p>
    <w:p>
      <w:pPr>
        <w:rPr/>
      </w:pPr>
      <w:r>
        <w:rPr/>
        <w:t xml:space="preserve">Ответ: Индивидуальные предприниматели и малые предприятия (включая микропредприятия) являются субъектами малого предпринимательства и обязаны предоставлять статистические данные в органы государственной статистики в соответствии со статьёй 8 Федерального закона от 29.11.2007 № 282-ФЗ «Об официальном статистическом учете и системе государственной статистики в Российской Федерации», и статьёй 5 Федерального закона от 24.07.2007 года № 209-ФЗ "О развитии малого и среднего предпринимательства в Российской Федерации".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Предоставляют ли органы статистики справку-подтверждение о том, что предприятие относится к субъектам малого предпринимательства?</w:t>
      </w:r>
    </w:p>
    <w:p>
      <w:pPr>
        <w:rPr/>
      </w:pPr>
      <w:r>
        <w:rPr/>
        <w:t xml:space="preserve">Ответ: Нет, органы статистики такие справки не предоставляют. Предприятие может самостоятельно получить эти сведения из  Единого реестра субъектов малого и среднего предпринимательства, который ведет Федеральная налоговая служба. https://ofd.nalog.ru/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Могут ли органы статистики по запросу предприятия предоставить сведения по другим респондентам?</w:t>
      </w:r>
    </w:p>
    <w:p>
      <w:pPr>
        <w:rPr/>
      </w:pPr>
      <w:r>
        <w:rPr/>
        <w:t xml:space="preserve">Ответ: Нет. На формах федерального статистического наблюдения присутствует гриф конфиденциальности «Конфиденциальность гарантируется получателем информации».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 при отсутствии показателей по формам, предоставить вместо отчёта официальное письмо об отсутствии  наблюдаемого события?</w:t>
      </w:r>
    </w:p>
    <w:p>
      <w:pPr>
        <w:rPr/>
      </w:pPr>
      <w:r>
        <w:rPr/>
        <w:t xml:space="preserve">Ответ: Нет. Согласно Приказам Росстата об утверждении форм федерального статистического наблюдения при отсутствии в отчётном периоде данных для заполнения, респондентом направляется подписанный в установленном порядке отчёт по форме, не заполненный значениями показателей («пустой» отчет).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Когда респондент должен предоставить отчёт в органы статистики по форме, срок которой приходится на выходные?</w:t>
      </w:r>
    </w:p>
    <w:p>
      <w:pPr>
        <w:rPr/>
      </w:pPr>
      <w:r>
        <w:rPr/>
        <w:t xml:space="preserve">Ответ: В случае, когда дата представления статистической отчетности приходится на нерабочий (выходной) день,  сроком представления отчётности считается первый, следующий за ним рабочий день.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Обязаны ли органы статистики предоставлять респондентам бланки форм статистической отчетности в печатном виде?</w:t>
      </w:r>
    </w:p>
    <w:p>
      <w:pPr>
        <w:rPr/>
      </w:pPr>
      <w:r>
        <w:rPr/>
        <w:t xml:space="preserve">Ответ: Нет не обязаны. 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форме электронного документа, предназначенного для предоставления первичных статистических данных в электронном виде.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Кем установлены штрафы за нарушение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представления статистических данных, за представление недостоверных статистических данных 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предоставление статистических данных по формам отчётности на бумажном носителе?</w:t>
      </w:r>
    </w:p>
    <w:p>
      <w:pPr>
        <w:rPr/>
      </w:pPr>
      <w:r>
        <w:rPr/>
        <w:t xml:space="preserve">Ответ: С 30 декабря 2020 года 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Для субъектов малого предпринимательства эта норма действует с 1 января 2022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нормативным документом установлены штрафы за нарушение установленного порядка предоставления статистических данных?</w:t>
      </w:r>
    </w:p>
    <w:p>
      <w:pPr>
        <w:rPr/>
      </w:pPr>
      <w:r>
        <w:rPr/>
        <w:t xml:space="preserve">Ответ: За нарушение установленного порядка предоставления статистических данных, за представление недостоверных статистических данных установлена ответственность статьёй 13.19 Кодекса Российской Федерации об административных правонарушениях от 30.12.2001 № 195-ФЗ.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Предприятие не производит промышленную продукцию. Почему в перечне форм, подлежащих предоставлению респондентом в органы государственной статистики, присутствуют формы ПМ-(пром) или МП(микро)-натура?</w:t>
      </w:r>
    </w:p>
    <w:p>
      <w:pPr>
        <w:rPr/>
      </w:pPr>
      <w:r>
        <w:rPr/>
        <w:t xml:space="preserve">Ответ: При регистрации юридического лица или индивидуального предпринимателя в сведениях о дополнительных видах деятельности были указаны коды ОКВЭД, относящиеся к промышленным видам деятельности.  Если юридическое лицо или индивидуальный предприниматель не производит промышленную продукцию, то предоставляет отчёт по форме, не заполненный значениями показателей («пустой» отчет).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и где получить электронно-цифровую подпись (ЭЦП)?</w:t>
      </w:r>
    </w:p>
    <w:p>
      <w:pPr>
        <w:rPr/>
      </w:pPr>
      <w:r>
        <w:rPr/>
        <w:t xml:space="preserve">Ответ: На ФНС России возлагаются функции по оказанию безвозмездной государственной услуги по выпуску квалифицированной электронной подписи (КЭП) для юридических лиц (https://www.nalog.gov.ru/rn77/news/activities_fts/10880039/). Получить квалифицированную электронную подпись можно в Удостоверяющем центре ФНС России. Лица, имеющие право действовать без доверенности от имени организации смогут подать заявление на выпуск КЭП через «Личный кабинет налогоплательщика – физического лица».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Почему отчёт по форме № 1- здрав возвращается на доработку?</w:t>
      </w:r>
    </w:p>
    <w:p>
      <w:pPr>
        <w:rPr/>
      </w:pPr>
      <w:r>
        <w:rPr/>
        <w:t xml:space="preserve">Ответ: Одна из основных причин этого в том, что необходимо обязательно заполнять в Разделе 1 справочно строку 101 (значение 1 - городская местность, 2 - сельская местность). Это касается и «нулевых отчётов».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О статистике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официальные статистические показатели в разрезе муниципальных образований Кемеровской области – Кузбасса кроме тех, которые представлены в разделе «Статистика»?</w:t>
      </w:r>
    </w:p>
    <w:p>
      <w:pPr>
        <w:rPr/>
      </w:pPr>
      <w:r>
        <w:rPr/>
        <w:t xml:space="preserve">Ответ: В базе данных показателей муниципальных образований (БД ПМО): Главная страница / Статистика / Базы данных / БД ПМО. https://gks.ru/dbscripts/munst/munst.htm  В базу данных можно зайти, набрав в любой поисковой системе «БД ПМО».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официальные статистические показатели по Кемеровской области - Кузбассу, если тех, которые нужны, нет на сайте Кемеровостата?</w:t>
      </w:r>
    </w:p>
    <w:p>
      <w:pPr>
        <w:rPr/>
      </w:pPr>
      <w:r>
        <w:rPr/>
        <w:t xml:space="preserve">Ответ: В базе данных «Единая межведомственная информационно–статистическая система» (ЕМИСС): Главная страница / Статистика / Базы данных / ЕМИСС. https://www.fedstat.ru/  В базу данных можно зайти, набрав в любой поисковой системе «ЕМИСС».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найти информацию об уровне инфляции?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6 мая 2008г. № 671-р, Росстатом разрабатывается показатель «Индекс потребительских цен» (ИПЦ), который используется в качестве одного из основных показателей, характеризующих уровень инфляции. Расчет ИПЦ осуществляется ежемесячно по России и субъектам Российской Федерации. Официальная статистическая информация об ИПЦ размещается ежемесячно на 6-10-й рабочий день после отчетного периода по Кемеровской области-Кузбассу на сайте Кемеровостата / Официальная статистика / Цены и тарифы; по Российской Федерации и её субъектам на сайте Росстата https://rosstat.gov.ru/price или в Единой межведомственной информационно-статистической системе (ЕМИСС) на сайте https://fedstat.ru/indicator/31074.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62439">
    <w:multiLevelType w:val="hybridMultilevel"/>
    <w:lvl w:ilvl="0" w:tplc="66348655">
      <w:start w:val="1"/>
      <w:numFmt w:val="decimal"/>
      <w:lvlText w:val="%1."/>
      <w:lvlJc w:val="left"/>
      <w:pPr>
        <w:ind w:left="720" w:hanging="360"/>
      </w:pPr>
    </w:lvl>
    <w:lvl w:ilvl="1" w:tplc="66348655" w:tentative="1">
      <w:start w:val="1"/>
      <w:numFmt w:val="lowerLetter"/>
      <w:lvlText w:val="%2."/>
      <w:lvlJc w:val="left"/>
      <w:pPr>
        <w:ind w:left="1440" w:hanging="360"/>
      </w:pPr>
    </w:lvl>
    <w:lvl w:ilvl="2" w:tplc="66348655" w:tentative="1">
      <w:start w:val="1"/>
      <w:numFmt w:val="lowerRoman"/>
      <w:lvlText w:val="%3."/>
      <w:lvlJc w:val="right"/>
      <w:pPr>
        <w:ind w:left="2160" w:hanging="180"/>
      </w:pPr>
    </w:lvl>
    <w:lvl w:ilvl="3" w:tplc="66348655" w:tentative="1">
      <w:start w:val="1"/>
      <w:numFmt w:val="decimal"/>
      <w:lvlText w:val="%4."/>
      <w:lvlJc w:val="left"/>
      <w:pPr>
        <w:ind w:left="2880" w:hanging="360"/>
      </w:pPr>
    </w:lvl>
    <w:lvl w:ilvl="4" w:tplc="66348655" w:tentative="1">
      <w:start w:val="1"/>
      <w:numFmt w:val="lowerLetter"/>
      <w:lvlText w:val="%5."/>
      <w:lvlJc w:val="left"/>
      <w:pPr>
        <w:ind w:left="3600" w:hanging="360"/>
      </w:pPr>
    </w:lvl>
    <w:lvl w:ilvl="5" w:tplc="66348655" w:tentative="1">
      <w:start w:val="1"/>
      <w:numFmt w:val="lowerRoman"/>
      <w:lvlText w:val="%6."/>
      <w:lvlJc w:val="right"/>
      <w:pPr>
        <w:ind w:left="4320" w:hanging="180"/>
      </w:pPr>
    </w:lvl>
    <w:lvl w:ilvl="6" w:tplc="66348655" w:tentative="1">
      <w:start w:val="1"/>
      <w:numFmt w:val="decimal"/>
      <w:lvlText w:val="%7."/>
      <w:lvlJc w:val="left"/>
      <w:pPr>
        <w:ind w:left="5040" w:hanging="360"/>
      </w:pPr>
    </w:lvl>
    <w:lvl w:ilvl="7" w:tplc="66348655" w:tentative="1">
      <w:start w:val="1"/>
      <w:numFmt w:val="lowerLetter"/>
      <w:lvlText w:val="%8."/>
      <w:lvlJc w:val="left"/>
      <w:pPr>
        <w:ind w:left="5760" w:hanging="360"/>
      </w:pPr>
    </w:lvl>
    <w:lvl w:ilvl="8" w:tplc="66348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62438">
    <w:multiLevelType w:val="hybridMultilevel"/>
    <w:lvl w:ilvl="0" w:tplc="20672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162438">
    <w:abstractNumId w:val="65162438"/>
  </w:num>
  <w:num w:numId="65162439">
    <w:abstractNumId w:val="651624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